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line="360" w:lineRule="auto"/>
        <w:contextualSpacing w:val="0"/>
        <w:jc w:val="center"/>
      </w:pPr>
      <w:r w:rsidDel="00000000" w:rsidR="00000000" w:rsidRPr="00000000">
        <w:rPr>
          <w:rtl w:val="0"/>
        </w:rPr>
        <w:t xml:space="preserve">L’</w:t>
      </w:r>
      <w:r w:rsidDel="00000000" w:rsidR="00000000" w:rsidRPr="00000000">
        <w:rPr>
          <w:highlight w:val="white"/>
          <w:rtl w:val="0"/>
        </w:rPr>
        <w:t xml:space="preserve">évolution des personnages</w:t>
      </w:r>
      <w:r w:rsidDel="00000000" w:rsidR="00000000" w:rsidRPr="00000000">
        <w:rPr>
          <w:rtl w:val="0"/>
        </w:rPr>
        <w:t xml:space="preserve"> (pg. 13-21)</w:t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color w:val="212121"/>
          <w:highlight w:val="white"/>
          <w:rtl w:val="0"/>
        </w:rPr>
        <w:t xml:space="preserve">Pour cette section du livre, j’ai d</w:t>
      </w:r>
      <w:r w:rsidDel="00000000" w:rsidR="00000000" w:rsidRPr="00000000">
        <w:rPr>
          <w:highlight w:val="white"/>
          <w:rtl w:val="0"/>
        </w:rPr>
        <w:t xml:space="preserve">écidé de </w:t>
      </w:r>
      <w:r w:rsidDel="00000000" w:rsidR="00000000" w:rsidRPr="00000000">
        <w:rPr>
          <w:color w:val="212121"/>
          <w:highlight w:val="white"/>
          <w:rtl w:val="0"/>
        </w:rPr>
        <w:t xml:space="preserve">faire une introduction des personnages au lieu de l’</w:t>
      </w:r>
      <w:r w:rsidDel="00000000" w:rsidR="00000000" w:rsidRPr="00000000">
        <w:rPr>
          <w:highlight w:val="white"/>
          <w:rtl w:val="0"/>
        </w:rPr>
        <w:t xml:space="preserve">évolution des personnages</w:t>
      </w:r>
      <w:r w:rsidDel="00000000" w:rsidR="00000000" w:rsidRPr="00000000">
        <w:rPr>
          <w:color w:val="212121"/>
          <w:highlight w:val="white"/>
          <w:rtl w:val="0"/>
        </w:rPr>
        <w:t xml:space="preserve"> parce qu'il n'y a pas beaucoup de développement entre les personnages au début de l'histoire.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tl w:val="0"/>
        </w:rPr>
        <w:t xml:space="preserve">Garcin: </w:t>
      </w:r>
      <w:r w:rsidDel="00000000" w:rsidR="00000000" w:rsidRPr="00000000">
        <w:rPr>
          <w:color w:val="212121"/>
          <w:highlight w:val="white"/>
          <w:rtl w:val="0"/>
        </w:rPr>
        <w:t xml:space="preserve">Il est une personnage qui n'a pas de problème à s'exprimer ou de faire un point avec la passion. Il est aussi un homme très intelligent qui toujours questionne les objets qui sont prochent a lui et pourquoi les choses manquent. Garcin est </w:t>
      </w:r>
      <w:r w:rsidDel="00000000" w:rsidR="00000000" w:rsidRPr="00000000">
        <w:rPr>
          <w:highlight w:val="white"/>
          <w:rtl w:val="0"/>
        </w:rPr>
        <w:t xml:space="preserve">évidemment confus quand il est entré dans l’enfer et questionne pourquoi il manque un lit et une brosse à dents.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tl w:val="0"/>
        </w:rPr>
        <w:t xml:space="preserve">Le Garçon: </w:t>
      </w:r>
      <w:r w:rsidDel="00000000" w:rsidR="00000000" w:rsidRPr="00000000">
        <w:rPr>
          <w:color w:val="212121"/>
          <w:highlight w:val="white"/>
          <w:rtl w:val="0"/>
        </w:rPr>
        <w:t xml:space="preserve">Il inaugure les personnages dans la pièce et n'a pas d'autre fonction, mais il sert  </w:t>
      </w:r>
      <w:r w:rsidDel="00000000" w:rsidR="00000000" w:rsidRPr="00000000">
        <w:rPr>
          <w:color w:val="212121"/>
          <w:highlight w:val="white"/>
          <w:rtl w:val="0"/>
        </w:rPr>
        <w:t xml:space="preserve">comme un personnage secondaire qui contribue au développement du pièce. Il semble qu'il aime dire aux nouveaux arrivants qu'ils sont morts mais, on dirait qu’il aime aussi les confondre.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